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B6C" w:rsidRPr="005A4C2B" w:rsidRDefault="00682B6C" w:rsidP="00682B6C">
      <w:pPr>
        <w:spacing w:after="0" w:line="240" w:lineRule="auto"/>
        <w:jc w:val="center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>SYLABUS</w:t>
      </w:r>
    </w:p>
    <w:p w:rsidR="00682B6C" w:rsidRPr="005A4C2B" w:rsidRDefault="00682B6C" w:rsidP="00682B6C">
      <w:pPr>
        <w:spacing w:after="0" w:line="240" w:lineRule="auto"/>
        <w:jc w:val="center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682B6C" w:rsidRPr="005A4C2B" w:rsidRDefault="00682B6C" w:rsidP="00682B6C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rPr>
          <w:rFonts w:ascii="Corbel" w:hAnsi="Corbel"/>
          <w:color w:val="000000"/>
          <w:sz w:val="21"/>
          <w:szCs w:val="21"/>
        </w:rPr>
      </w:pPr>
      <w:r w:rsidRPr="005A4C2B">
        <w:rPr>
          <w:rFonts w:ascii="Corbel" w:hAnsi="Corbel" w:cs="Corbel"/>
          <w:color w:val="000000"/>
          <w:sz w:val="21"/>
          <w:szCs w:val="21"/>
        </w:rPr>
        <w:t xml:space="preserve">1. PODSTAWOWE INFORMACJE O PRZEDMIOCIE/MODULE </w:t>
      </w:r>
    </w:p>
    <w:tbl>
      <w:tblPr>
        <w:tblW w:w="9548" w:type="dxa"/>
        <w:tblInd w:w="-84" w:type="dxa"/>
        <w:tblLayout w:type="fixed"/>
        <w:tblLook w:val="0000"/>
      </w:tblPr>
      <w:tblGrid>
        <w:gridCol w:w="2694"/>
        <w:gridCol w:w="6854"/>
      </w:tblGrid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  <w:highlight w:val="white"/>
              </w:rPr>
              <w:t>Kontrola i audyt wewnętrzny w banku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/C.2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F50C2C" w:rsidRDefault="00682B6C" w:rsidP="008121B6">
            <w:r w:rsidRPr="007A6EFE">
              <w:rPr>
                <w:rFonts w:ascii="Corbel" w:hAnsi="Corbel" w:cs="Corbel"/>
                <w:sz w:val="21"/>
                <w:szCs w:val="21"/>
              </w:rPr>
              <w:t>Katedra Rynków</w:t>
            </w:r>
            <w:r>
              <w:rPr>
                <w:rFonts w:ascii="Corbel" w:hAnsi="Corbel" w:cs="Corbel"/>
                <w:sz w:val="21"/>
                <w:szCs w:val="21"/>
              </w:rPr>
              <w:t xml:space="preserve"> F</w:t>
            </w:r>
            <w:r w:rsidRPr="007A6EFE">
              <w:rPr>
                <w:rFonts w:ascii="Corbel" w:hAnsi="Corbel" w:cs="Corbel"/>
                <w:sz w:val="21"/>
                <w:szCs w:val="21"/>
              </w:rPr>
              <w:t>inansowych i Finansów Publicznych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 stopień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II/4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napToGrid w:val="0"/>
              <w:spacing w:after="0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dr hab. Antoni 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Magdoń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, prof. UR</w:t>
            </w:r>
          </w:p>
        </w:tc>
      </w:tr>
      <w:tr w:rsidR="00682B6C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ytania"/>
              <w:spacing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Odpowiedzi"/>
              <w:snapToGrid w:val="0"/>
              <w:spacing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dr hab. Antoni 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Magdoń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, prof. UR</w:t>
            </w:r>
          </w:p>
        </w:tc>
      </w:tr>
    </w:tbl>
    <w:p w:rsidR="00682B6C" w:rsidRPr="005A4C2B" w:rsidRDefault="00682B6C" w:rsidP="00682B6C">
      <w:pPr>
        <w:pStyle w:val="Podpunkty"/>
        <w:spacing w:after="280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682B6C" w:rsidRPr="005A4C2B" w:rsidRDefault="00682B6C" w:rsidP="00682B6C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514" w:type="dxa"/>
        <w:tblInd w:w="-5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312"/>
      </w:tblGrid>
      <w:tr w:rsidR="00682B6C" w:rsidRPr="005A4C2B" w:rsidTr="008121B6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682B6C" w:rsidRPr="005A4C2B" w:rsidRDefault="00682B6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682B6C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  <w:highlight w:val="white"/>
              </w:rPr>
              <w:t>2</w:t>
            </w:r>
          </w:p>
        </w:tc>
      </w:tr>
    </w:tbl>
    <w:p w:rsidR="00682B6C" w:rsidRPr="005A4C2B" w:rsidRDefault="00682B6C" w:rsidP="00682B6C">
      <w:pPr>
        <w:pStyle w:val="Podpunkty"/>
        <w:ind w:left="0"/>
        <w:rPr>
          <w:rFonts w:ascii="Corbel" w:hAnsi="Corbel" w:cs="Corbel"/>
          <w:b w:val="0"/>
          <w:sz w:val="21"/>
          <w:szCs w:val="21"/>
          <w:lang w:eastAsia="en-US"/>
        </w:rPr>
      </w:pPr>
    </w:p>
    <w:p w:rsidR="00682B6C" w:rsidRPr="005A4C2B" w:rsidRDefault="00682B6C" w:rsidP="00682B6C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682B6C" w:rsidRPr="005A4C2B" w:rsidRDefault="00682B6C" w:rsidP="00682B6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eastAsia="Corbel" w:hAnsi="Corbel" w:cs="Corbel"/>
          <w:sz w:val="21"/>
          <w:szCs w:val="21"/>
        </w:rPr>
        <w:t xml:space="preserve">  </w:t>
      </w:r>
      <w:r w:rsidRPr="005A4C2B">
        <w:rPr>
          <w:rFonts w:ascii="Corbel" w:eastAsia="MS Gothic" w:hAnsi="Corbel" w:cs="Corbel"/>
          <w:sz w:val="21"/>
          <w:szCs w:val="21"/>
        </w:rPr>
        <w:t>x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682B6C" w:rsidRPr="005A4C2B" w:rsidRDefault="00682B6C" w:rsidP="00682B6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eastAsia="Corbel" w:hAnsi="Corbel" w:cs="Corbel"/>
          <w:b w:val="0"/>
          <w:smallCaps w:val="0"/>
          <w:sz w:val="21"/>
          <w:szCs w:val="21"/>
        </w:rPr>
        <w:t xml:space="preserve"> 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682B6C" w:rsidRPr="005A4C2B" w:rsidRDefault="00682B6C" w:rsidP="00682B6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9356" w:type="dxa"/>
        <w:tblInd w:w="108" w:type="dxa"/>
        <w:tblLayout w:type="fixed"/>
        <w:tblLook w:val="0000"/>
      </w:tblPr>
      <w:tblGrid>
        <w:gridCol w:w="9356"/>
      </w:tblGrid>
      <w:tr w:rsidR="00682B6C" w:rsidRPr="005A4C2B" w:rsidTr="008121B6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</w:t>
            </w:r>
          </w:p>
        </w:tc>
      </w:tr>
    </w:tbl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682B6C" w:rsidRPr="005A4C2B" w:rsidRDefault="00682B6C" w:rsidP="00682B6C">
      <w:pPr>
        <w:pStyle w:val="Punktygwne"/>
        <w:spacing w:before="0" w:after="0"/>
        <w:ind w:left="284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3.1 Cele przedmiotu/modułu </w:t>
      </w:r>
    </w:p>
    <w:tbl>
      <w:tblPr>
        <w:tblW w:w="9356" w:type="dxa"/>
        <w:tblInd w:w="108" w:type="dxa"/>
        <w:tblLayout w:type="fixed"/>
        <w:tblLook w:val="0000"/>
      </w:tblPr>
      <w:tblGrid>
        <w:gridCol w:w="851"/>
        <w:gridCol w:w="8505"/>
      </w:tblGrid>
      <w:tr w:rsidR="00682B6C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682B6C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C2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:rsidR="00682B6C" w:rsidRDefault="00682B6C" w:rsidP="00682B6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682B6C" w:rsidRDefault="00682B6C" w:rsidP="00682B6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682B6C" w:rsidRDefault="00682B6C" w:rsidP="00682B6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682B6C" w:rsidRDefault="00682B6C" w:rsidP="00682B6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682B6C" w:rsidRPr="005A4C2B" w:rsidRDefault="00682B6C" w:rsidP="00682B6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9243" w:type="dxa"/>
        <w:tblInd w:w="108" w:type="dxa"/>
        <w:tblLayout w:type="fixed"/>
        <w:tblLook w:val="0000"/>
      </w:tblPr>
      <w:tblGrid>
        <w:gridCol w:w="1701"/>
        <w:gridCol w:w="6096"/>
        <w:gridCol w:w="1446"/>
      </w:tblGrid>
      <w:tr w:rsidR="00682B6C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682B6C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Zna i rozumie zasady zarządzania ryzykiem oraz wartością banku, standardy audytu i sprawozdawczości finansowej, posiada podstawową wiedzę na temat instytucji audytu wewnętrznego i kontroli wewnętrznej w banku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:rsidR="00682B6C" w:rsidRPr="005A4C2B" w:rsidRDefault="00682B6C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682B6C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i audytem wewnętrznym, dostrzega zagrożenia i konsekwencje wynikające z braku audytu wewnętrznego i kontroli wewnętrznej w banku, 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:rsidR="00682B6C" w:rsidRPr="005A4C2B" w:rsidRDefault="00682B6C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682B6C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682B6C" w:rsidRPr="005A4C2B" w:rsidRDefault="00682B6C" w:rsidP="00682B6C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sz w:val="21"/>
          <w:szCs w:val="21"/>
        </w:rPr>
        <w:t>wypełnia koordynator)</w:t>
      </w:r>
    </w:p>
    <w:p w:rsidR="00682B6C" w:rsidRPr="005A4C2B" w:rsidRDefault="00682B6C" w:rsidP="00682B6C">
      <w:pPr>
        <w:pStyle w:val="Akapitzlist"/>
        <w:numPr>
          <w:ilvl w:val="0"/>
          <w:numId w:val="2"/>
        </w:numPr>
        <w:suppressAutoHyphens/>
        <w:spacing w:line="240" w:lineRule="auto"/>
        <w:ind w:left="1134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9243" w:type="dxa"/>
        <w:tblInd w:w="108" w:type="dxa"/>
        <w:tblLayout w:type="fixed"/>
        <w:tblLook w:val="0000"/>
      </w:tblPr>
      <w:tblGrid>
        <w:gridCol w:w="9243"/>
      </w:tblGrid>
      <w:tr w:rsidR="00682B6C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682B6C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682B6C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682B6C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682B6C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682B6C" w:rsidRPr="005A4C2B" w:rsidTr="008121B6">
        <w:tc>
          <w:tcPr>
            <w:tcW w:w="9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682B6C" w:rsidRPr="005A4C2B" w:rsidTr="008121B6">
        <w:tc>
          <w:tcPr>
            <w:tcW w:w="9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682B6C" w:rsidRPr="005A4C2B" w:rsidTr="008121B6">
        <w:tc>
          <w:tcPr>
            <w:tcW w:w="9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682B6C" w:rsidRPr="005A4C2B" w:rsidTr="008121B6">
        <w:tc>
          <w:tcPr>
            <w:tcW w:w="9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682B6C" w:rsidRPr="005A4C2B" w:rsidTr="008121B6">
        <w:tc>
          <w:tcPr>
            <w:tcW w:w="9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</w:t>
      </w:r>
    </w:p>
    <w:p w:rsidR="00682B6C" w:rsidRPr="005A4C2B" w:rsidRDefault="00682B6C" w:rsidP="00682B6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oraz tekstów źródłowych, praca w grupach</w:t>
      </w:r>
    </w:p>
    <w:p w:rsidR="00682B6C" w:rsidRPr="005A4C2B" w:rsidRDefault="00682B6C" w:rsidP="00682B6C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 w:val="21"/>
          <w:szCs w:val="21"/>
        </w:rPr>
      </w:pPr>
    </w:p>
    <w:p w:rsidR="00682B6C" w:rsidRPr="005A4C2B" w:rsidRDefault="00682B6C" w:rsidP="00682B6C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682B6C" w:rsidRPr="005A4C2B" w:rsidRDefault="00682B6C" w:rsidP="00682B6C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9385" w:type="dxa"/>
        <w:tblInd w:w="108" w:type="dxa"/>
        <w:tblLayout w:type="fixed"/>
        <w:tblLook w:val="0000"/>
      </w:tblPr>
      <w:tblGrid>
        <w:gridCol w:w="1843"/>
        <w:gridCol w:w="5670"/>
        <w:gridCol w:w="1872"/>
      </w:tblGrid>
      <w:tr w:rsidR="00682B6C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82B6C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682B6C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682B6C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  <w:highlight w:val="white"/>
              </w:rPr>
              <w:t>ek_0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:rsidR="00682B6C" w:rsidRPr="005A4C2B" w:rsidRDefault="00682B6C" w:rsidP="00682B6C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385" w:type="dxa"/>
        <w:tblInd w:w="108" w:type="dxa"/>
        <w:tblLayout w:type="fixed"/>
        <w:tblLook w:val="0000"/>
      </w:tblPr>
      <w:tblGrid>
        <w:gridCol w:w="9385"/>
      </w:tblGrid>
      <w:tr w:rsidR="00682B6C" w:rsidRPr="005A4C2B" w:rsidTr="008121B6">
        <w:tc>
          <w:tcPr>
            <w:tcW w:w="9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:rsidR="00682B6C" w:rsidRPr="005A4C2B" w:rsidRDefault="00682B6C" w:rsidP="00682B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:rsidR="00682B6C" w:rsidRPr="005A4C2B" w:rsidRDefault="00682B6C" w:rsidP="00682B6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682B6C" w:rsidRPr="005A4C2B" w:rsidRDefault="00682B6C" w:rsidP="00682B6C">
      <w:pPr>
        <w:pStyle w:val="Bezodstpw"/>
        <w:ind w:left="284" w:hanging="284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385" w:type="dxa"/>
        <w:tblInd w:w="108" w:type="dxa"/>
        <w:tblLayout w:type="fixed"/>
        <w:tblLook w:val="0000"/>
      </w:tblPr>
      <w:tblGrid>
        <w:gridCol w:w="4962"/>
        <w:gridCol w:w="4423"/>
      </w:tblGrid>
      <w:tr w:rsidR="00682B6C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82B6C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</w:tr>
      <w:tr w:rsidR="00682B6C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>(udział w konsultacjach)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>5</w:t>
            </w:r>
          </w:p>
        </w:tc>
      </w:tr>
      <w:tr w:rsidR="00682B6C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przygotowanie do kolokwium)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36</w:t>
            </w:r>
          </w:p>
        </w:tc>
      </w:tr>
      <w:tr w:rsidR="00682B6C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682B6C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:rsidR="00682B6C" w:rsidRPr="005A4C2B" w:rsidRDefault="00682B6C" w:rsidP="00682B6C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96" w:type="pct"/>
        <w:tblLook w:val="0000"/>
      </w:tblPr>
      <w:tblGrid>
        <w:gridCol w:w="4324"/>
        <w:gridCol w:w="5142"/>
      </w:tblGrid>
      <w:tr w:rsidR="00682B6C" w:rsidRPr="005A4C2B" w:rsidTr="008121B6">
        <w:trPr>
          <w:trHeight w:val="397"/>
        </w:trPr>
        <w:tc>
          <w:tcPr>
            <w:tcW w:w="2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82B6C" w:rsidRPr="005A4C2B" w:rsidTr="008121B6">
        <w:trPr>
          <w:trHeight w:val="397"/>
        </w:trPr>
        <w:tc>
          <w:tcPr>
            <w:tcW w:w="2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82B6C" w:rsidRPr="005A4C2B" w:rsidRDefault="00682B6C" w:rsidP="00682B6C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682B6C" w:rsidRPr="005A4C2B" w:rsidRDefault="00682B6C" w:rsidP="00682B6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96" w:type="pct"/>
        <w:tblLook w:val="0000"/>
      </w:tblPr>
      <w:tblGrid>
        <w:gridCol w:w="9466"/>
      </w:tblGrid>
      <w:tr w:rsidR="00682B6C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82B6C" w:rsidRPr="005A4C2B" w:rsidRDefault="00682B6C" w:rsidP="00682B6C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Janc A., Kałużny R., Audyt wewnętrzny i audyt zewnętrzny w banku, Akademia Ekonomiczna w Poznaniu, Poznań 2008.</w:t>
            </w:r>
          </w:p>
          <w:p w:rsidR="00682B6C" w:rsidRPr="005A4C2B" w:rsidRDefault="00682B6C" w:rsidP="00682B6C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Kiziukiewicz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T. (red.), Audyt wewnętrzny w strukturze kontroli zarządczej,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Warszawa 2013.</w:t>
            </w:r>
          </w:p>
          <w:p w:rsidR="00682B6C" w:rsidRPr="005A4C2B" w:rsidRDefault="00682B6C" w:rsidP="00682B6C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J.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Saunders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E.,  Audyt wewnętrzny i kontrola wewnętrzna w przedsiębiorstwach i administracji publicznej, Polski Instytut Kontroli Wewnętrznej : "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Educator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", Częstochowa 2003.</w:t>
            </w:r>
          </w:p>
        </w:tc>
      </w:tr>
      <w:tr w:rsidR="00682B6C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B6C" w:rsidRPr="005A4C2B" w:rsidRDefault="00682B6C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82B6C" w:rsidRPr="005A4C2B" w:rsidRDefault="00682B6C" w:rsidP="00682B6C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97" w:hanging="34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Gabrusewicz T., Marchewka-Bartkowiak K., Wiśniewski M. (red.) Kontrola, audyt, rachunkowość i finanse: praktyczne rozwiązania,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 Warszawa 2015.</w:t>
            </w:r>
          </w:p>
          <w:p w:rsidR="00682B6C" w:rsidRPr="005A4C2B" w:rsidRDefault="00682B6C" w:rsidP="00682B6C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97" w:hanging="34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Moeller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R., Nowoczesny audyt wewnętrzny,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Warszawa 2015.</w:t>
            </w:r>
          </w:p>
          <w:p w:rsidR="00682B6C" w:rsidRPr="005A4C2B" w:rsidRDefault="00682B6C" w:rsidP="00682B6C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97" w:hanging="34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Winiarska K., Audyt finansowy, Polskie Wydawnictwo Ekonomiczne, Warszawa 2009.</w:t>
            </w:r>
          </w:p>
        </w:tc>
      </w:tr>
    </w:tbl>
    <w:p w:rsidR="00682B6C" w:rsidRPr="005A4C2B" w:rsidRDefault="00682B6C" w:rsidP="00682B6C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12E7565F"/>
    <w:multiLevelType w:val="hybridMultilevel"/>
    <w:tmpl w:val="7862E5BC"/>
    <w:name w:val="WW8Num23"/>
    <w:lvl w:ilvl="0" w:tplc="0F8A914A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51F11"/>
    <w:multiLevelType w:val="hybridMultilevel"/>
    <w:tmpl w:val="F83813F4"/>
    <w:name w:val="WW8Num33"/>
    <w:lvl w:ilvl="0" w:tplc="B72CABD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D1B4B"/>
    <w:multiLevelType w:val="hybridMultilevel"/>
    <w:tmpl w:val="8DFA4BE0"/>
    <w:lvl w:ilvl="0" w:tplc="60F8651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2B6C"/>
    <w:rsid w:val="00682B6C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B6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2B6C"/>
    <w:pPr>
      <w:ind w:left="720"/>
      <w:contextualSpacing/>
    </w:pPr>
  </w:style>
  <w:style w:type="paragraph" w:customStyle="1" w:styleId="Default">
    <w:name w:val="Default"/>
    <w:uiPriority w:val="99"/>
    <w:rsid w:val="00682B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82B6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82B6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82B6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82B6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82B6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82B6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82B6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82B6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2B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2B6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726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2019-02-03T20:40:00Z</dcterms:created>
  <dcterms:modified xsi:type="dcterms:W3CDTF">2019-02-03T20:41:00Z</dcterms:modified>
</cp:coreProperties>
</file>